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C6EEA" w:rsidRDefault="00A50FAD">
      <w:pPr>
        <w:spacing w:line="360" w:lineRule="auto"/>
        <w:jc w:val="both"/>
      </w:pPr>
      <w:r>
        <w:t>Link these at the end of the module</w:t>
      </w:r>
    </w:p>
    <w:p w14:paraId="00000002" w14:textId="77777777" w:rsidR="007C6EEA" w:rsidRDefault="007C6EEA">
      <w:pPr>
        <w:spacing w:line="360" w:lineRule="auto"/>
        <w:jc w:val="both"/>
      </w:pPr>
    </w:p>
    <w:p w14:paraId="00000003" w14:textId="77777777" w:rsidR="007C6EEA" w:rsidRDefault="00A50FAD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hyperlink r:id="rId4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https://www.youtube.com/watch?v=t7nrOBBfcYI</w:t>
        </w:r>
      </w:hyperlink>
      <w:r>
        <w:rPr>
          <w:rFonts w:ascii="Lora" w:eastAsia="Lora" w:hAnsi="Lora" w:cs="Lora"/>
          <w:sz w:val="18"/>
          <w:szCs w:val="18"/>
        </w:rPr>
        <w:t xml:space="preserve"> -- family cardio video</w:t>
      </w:r>
    </w:p>
    <w:p w14:paraId="00000004" w14:textId="77777777" w:rsidR="007C6EEA" w:rsidRDefault="007C6EEA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</w:p>
    <w:p w14:paraId="00000005" w14:textId="77777777" w:rsidR="007C6EEA" w:rsidRDefault="00A50FAD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hyperlink r:id="rId5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https://www.thehealthy.com/family/47-tips-for-a-healthier-more-active-family/</w:t>
        </w:r>
      </w:hyperlink>
      <w:r>
        <w:rPr>
          <w:rFonts w:ascii="Lora" w:eastAsia="Lora" w:hAnsi="Lora" w:cs="Lora"/>
          <w:sz w:val="18"/>
          <w:szCs w:val="18"/>
        </w:rPr>
        <w:t xml:space="preserve"> -- tips for a more active </w:t>
      </w:r>
    </w:p>
    <w:p w14:paraId="00000006" w14:textId="77777777" w:rsidR="007C6EEA" w:rsidRDefault="00A50FAD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r>
        <w:rPr>
          <w:rFonts w:ascii="Lora" w:eastAsia="Lora" w:hAnsi="Lora" w:cs="Lora"/>
          <w:sz w:val="18"/>
          <w:szCs w:val="18"/>
        </w:rPr>
        <w:t xml:space="preserve">family </w:t>
      </w:r>
    </w:p>
    <w:p w14:paraId="00000007" w14:textId="77777777" w:rsidR="007C6EEA" w:rsidRDefault="007C6EEA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</w:p>
    <w:p w14:paraId="00000008" w14:textId="77777777" w:rsidR="007C6EEA" w:rsidRDefault="00A50FAD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hyperlink r:id="rId6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https://aaptiv.com/magazine/staying-active-as-a-family</w:t>
        </w:r>
      </w:hyperlink>
      <w:r>
        <w:rPr>
          <w:rFonts w:ascii="Lora" w:eastAsia="Lora" w:hAnsi="Lora" w:cs="Lora"/>
          <w:sz w:val="18"/>
          <w:szCs w:val="18"/>
        </w:rPr>
        <w:t xml:space="preserve"> -- benefits of active families</w:t>
      </w:r>
    </w:p>
    <w:p w14:paraId="00000009" w14:textId="77777777" w:rsidR="007C6EEA" w:rsidRDefault="007C6EEA"/>
    <w:sectPr w:rsidR="007C6E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EA"/>
    <w:rsid w:val="007C6EEA"/>
    <w:rsid w:val="00A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DE85184-9B46-CD49-8CA7-66CB762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aptiv.com/magazine/staying-active-as-a-family" TargetMode="External"/><Relationship Id="rId5" Type="http://schemas.openxmlformats.org/officeDocument/2006/relationships/hyperlink" Target="https://www.thehealthy.com/family/47-tips-for-a-healthier-more-active-family/" TargetMode="External"/><Relationship Id="rId4" Type="http://schemas.openxmlformats.org/officeDocument/2006/relationships/hyperlink" Target="https://www.youtube.com/watch?v=t7nrOBBfc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Brown-Cordero, Lizzie</cp:lastModifiedBy>
  <cp:revision>2</cp:revision>
  <dcterms:created xsi:type="dcterms:W3CDTF">2021-05-14T14:57:00Z</dcterms:created>
  <dcterms:modified xsi:type="dcterms:W3CDTF">2021-05-14T14:57:00Z</dcterms:modified>
</cp:coreProperties>
</file>